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/>
        <w:jc w:val="center"/>
        <w:rPr/>
      </w:pPr>
      <w:r>
        <w:rPr>
          <w:rFonts w:eastAsia="Arial" w:cs="Arial" w:ascii="Arial" w:hAnsi="Arial"/>
          <w:b/>
          <w:sz w:val="26"/>
        </w:rPr>
        <w:t xml:space="preserve">ТЕХНИЧЕСКОЕ ЗАДАНИЕ </w:t>
      </w:r>
    </w:p>
    <w:p>
      <w:pPr>
        <w:pStyle w:val="Normal"/>
        <w:spacing w:lineRule="exact" w:line="276"/>
        <w:rPr>
          <w:sz w:val="20"/>
          <w:szCs w:val="20"/>
        </w:rPr>
      </w:pPr>
      <w:r>
        <w:rPr>
          <w:rFonts w:eastAsia="Arial" w:cs="Times New Roman"/>
          <w:sz w:val="20"/>
          <w:szCs w:val="20"/>
          <w:u w:val="single"/>
        </w:rPr>
        <w:t>Предмет поставки</w:t>
      </w:r>
      <w:r>
        <w:rPr>
          <w:rFonts w:eastAsia="Arial" w:cs="Times New Roman"/>
          <w:sz w:val="20"/>
          <w:szCs w:val="20"/>
        </w:rPr>
        <w:t xml:space="preserve">:  </w:t>
      </w:r>
      <w:r>
        <w:rPr>
          <w:rFonts w:eastAsia="Arial" w:cs="Times New Roman;serif" w:ascii="Times New Roman;serif" w:hAnsi="Times New Roman;serif"/>
          <w:b/>
          <w:bCs/>
          <w:sz w:val="20"/>
          <w:szCs w:val="20"/>
          <w:u w:val="none"/>
          <w:lang w:val="ru-RU"/>
        </w:rPr>
        <w:t xml:space="preserve">На право заключения договора на поставку светофильтров </w:t>
      </w:r>
      <w:r>
        <w:rPr>
          <w:rFonts w:eastAsia="Arial" w:cs="Times New Roman" w:ascii="Times New Roman;serif" w:hAnsi="Times New Roman;serif"/>
          <w:b/>
          <w:bCs/>
          <w:sz w:val="20"/>
          <w:szCs w:val="20"/>
          <w:u w:val="none"/>
          <w:lang w:val="ru-RU"/>
        </w:rPr>
        <w:t>10</w:t>
      </w:r>
      <w:bookmarkStart w:id="0" w:name="__DdeLink__2005_2056054977"/>
      <w:r>
        <w:rPr>
          <w:rFonts w:eastAsia="Arial" w:cs="Times New Roman" w:ascii="Times New Roman;serif" w:hAnsi="Times New Roman;serif"/>
          <w:b/>
          <w:bCs/>
          <w:sz w:val="20"/>
          <w:szCs w:val="20"/>
          <w:u w:val="none"/>
          <w:lang w:val="en-US"/>
        </w:rPr>
        <w:t>JY1</w:t>
      </w:r>
      <w:bookmarkEnd w:id="0"/>
      <w:r>
        <w:rPr>
          <w:rFonts w:eastAsia="Arial" w:cs="Times New Roman" w:ascii="Times New Roman;serif" w:hAnsi="Times New Roman;serif"/>
          <w:b/>
          <w:bCs/>
          <w:sz w:val="20"/>
          <w:szCs w:val="20"/>
          <w:u w:val="none"/>
          <w:lang w:val="en-US"/>
        </w:rPr>
        <w:t xml:space="preserve"> </w:t>
      </w:r>
      <w:r>
        <w:rPr>
          <w:rFonts w:eastAsia="Arial" w:cs="Times New Roman" w:ascii="Times New Roman;serif" w:hAnsi="Times New Roman;serif"/>
          <w:b/>
          <w:bCs/>
          <w:sz w:val="20"/>
          <w:szCs w:val="20"/>
          <w:u w:val="none"/>
          <w:lang w:val="ru-RU"/>
        </w:rPr>
        <w:t>и</w:t>
      </w:r>
      <w:r>
        <w:rPr>
          <w:rFonts w:eastAsia="Arial" w:cs="Times New Roman" w:ascii="Times New Roman;serif" w:hAnsi="Times New Roman;serif"/>
          <w:b/>
          <w:bCs/>
          <w:sz w:val="20"/>
          <w:szCs w:val="20"/>
          <w:u w:val="none"/>
          <w:lang w:val="en-US"/>
        </w:rPr>
        <w:t xml:space="preserve"> </w:t>
      </w:r>
      <w:r>
        <w:rPr>
          <w:rFonts w:eastAsia="Arial" w:cs="Times New Roman" w:ascii="Times New Roman;serif" w:hAnsi="Times New Roman;serif"/>
          <w:b/>
          <w:bCs/>
          <w:sz w:val="20"/>
          <w:szCs w:val="20"/>
          <w:u w:val="none"/>
          <w:lang w:val="ru-RU"/>
        </w:rPr>
        <w:t>11</w:t>
      </w:r>
      <w:r>
        <w:rPr>
          <w:rFonts w:eastAsia="Arial" w:cs="Times New Roman" w:ascii="Times New Roman;serif" w:hAnsi="Times New Roman;serif"/>
          <w:b/>
          <w:bCs/>
          <w:sz w:val="20"/>
          <w:szCs w:val="20"/>
          <w:u w:val="none"/>
          <w:lang w:val="en-US"/>
        </w:rPr>
        <w:t>JY1</w:t>
      </w:r>
      <w:r>
        <w:rPr>
          <w:rFonts w:eastAsia="Arial" w:cs="Times New Roman;serif" w:ascii="Times New Roman;serif" w:hAnsi="Times New Roman;serif"/>
          <w:b/>
          <w:bCs/>
          <w:sz w:val="20"/>
          <w:szCs w:val="20"/>
          <w:u w:val="none"/>
          <w:lang w:val="ru-RU"/>
        </w:rPr>
        <w:t xml:space="preserve"> для щитков  сварщика для ОАО </w:t>
      </w:r>
      <w:r>
        <w:rPr>
          <w:rFonts w:eastAsia="Arial" w:cs="Times New Roman;serif" w:ascii="Times New Roman;serif" w:hAnsi="Times New Roman;serif"/>
          <w:b/>
          <w:bCs/>
          <w:sz w:val="20"/>
          <w:szCs w:val="20"/>
          <w:u w:val="none"/>
          <w:lang w:val="en-US"/>
        </w:rPr>
        <w:t>«</w:t>
      </w:r>
      <w:r>
        <w:rPr>
          <w:rFonts w:eastAsia="Arial" w:cs="Times New Roman;serif" w:ascii="Times New Roman;serif" w:hAnsi="Times New Roman;serif"/>
          <w:b/>
          <w:bCs/>
          <w:sz w:val="20"/>
          <w:szCs w:val="20"/>
          <w:u w:val="none"/>
          <w:lang w:val="ru-RU"/>
        </w:rPr>
        <w:t>Завод Буревестник</w:t>
      </w:r>
      <w:r>
        <w:rPr>
          <w:rFonts w:eastAsia="Arial" w:cs="Times New Roman;serif" w:ascii="Times New Roman;serif" w:hAnsi="Times New Roman;serif"/>
          <w:b/>
          <w:bCs/>
          <w:sz w:val="20"/>
          <w:szCs w:val="20"/>
          <w:u w:val="none"/>
          <w:lang w:val="en-US"/>
        </w:rPr>
        <w:t>»</w:t>
      </w:r>
      <w:r>
        <w:rPr>
          <w:rFonts w:eastAsia="Arial" w:cs="Times New Roman" w:ascii="Times New Roman;serif" w:hAnsi="Times New Roman;serif"/>
          <w:b/>
          <w:bCs/>
          <w:sz w:val="20"/>
          <w:szCs w:val="20"/>
          <w:u w:val="none"/>
          <w:lang w:val="en-US"/>
        </w:rPr>
        <w:t>.</w:t>
      </w:r>
    </w:p>
    <w:p>
      <w:pPr>
        <w:pStyle w:val="Normal"/>
        <w:spacing w:lineRule="exact" w:line="276"/>
        <w:rPr>
          <w:sz w:val="20"/>
          <w:szCs w:val="20"/>
        </w:rPr>
      </w:pPr>
      <w:r>
        <w:rPr>
          <w:rFonts w:eastAsia="Arial" w:cs="Times New Roman"/>
          <w:sz w:val="20"/>
          <w:szCs w:val="20"/>
          <w:u w:val="single"/>
        </w:rPr>
        <w:t>Наименование товара</w:t>
      </w:r>
      <w:r>
        <w:rPr>
          <w:rFonts w:eastAsia="Arial" w:cs="Times New Roman"/>
          <w:sz w:val="20"/>
          <w:szCs w:val="20"/>
        </w:rPr>
        <w:t xml:space="preserve">: </w:t>
      </w:r>
      <w:bookmarkStart w:id="1" w:name="__DdeLink__5953_604755995"/>
      <w:r>
        <w:rPr>
          <w:rFonts w:eastAsia="Arial" w:cs="Times New Roman;serif" w:ascii="Times New Roman;serif" w:hAnsi="Times New Roman;serif"/>
          <w:b w:val="false"/>
          <w:bCs/>
          <w:sz w:val="20"/>
          <w:szCs w:val="20"/>
          <w:u w:val="none"/>
          <w:lang w:val="ru-RU"/>
        </w:rPr>
        <w:t>светофильтр</w:t>
      </w:r>
      <w:bookmarkEnd w:id="1"/>
      <w:r>
        <w:rPr>
          <w:rFonts w:eastAsia="Arial" w:cs="Times New Roman;serif" w:ascii="Times New Roman;serif" w:hAnsi="Times New Roman;serif"/>
          <w:b w:val="false"/>
          <w:bCs/>
          <w:sz w:val="20"/>
          <w:szCs w:val="20"/>
          <w:u w:val="none"/>
          <w:lang w:val="ru-RU"/>
        </w:rPr>
        <w:t xml:space="preserve"> (материал-стекло) с градационными шифрами  10</w:t>
      </w:r>
      <w:r>
        <w:rPr>
          <w:rFonts w:eastAsia="Arial" w:cs="Times New Roman" w:ascii="Times New Roman;serif" w:hAnsi="Times New Roman;serif"/>
          <w:b w:val="false"/>
          <w:bCs w:val="false"/>
          <w:sz w:val="20"/>
          <w:szCs w:val="20"/>
          <w:u w:val="none"/>
          <w:lang w:val="en-US"/>
        </w:rPr>
        <w:t>JY1</w:t>
      </w:r>
      <w:r>
        <w:rPr>
          <w:rFonts w:eastAsia="Arial" w:cs="Times New Roman;serif" w:ascii="Times New Roman;serif" w:hAnsi="Times New Roman;serif"/>
          <w:b w:val="false"/>
          <w:bCs/>
          <w:sz w:val="20"/>
          <w:szCs w:val="20"/>
          <w:u w:val="none"/>
          <w:lang w:val="ru-RU"/>
        </w:rPr>
        <w:t xml:space="preserve"> и 11</w:t>
      </w:r>
      <w:r>
        <w:rPr>
          <w:rFonts w:eastAsia="Arial" w:cs="Times New Roman" w:ascii="Times New Roman;serif" w:hAnsi="Times New Roman;serif"/>
          <w:b w:val="false"/>
          <w:bCs w:val="false"/>
          <w:sz w:val="20"/>
          <w:szCs w:val="20"/>
          <w:u w:val="none"/>
          <w:lang w:val="en-US"/>
        </w:rPr>
        <w:t>JY1</w:t>
      </w:r>
      <w:r>
        <w:rPr>
          <w:rFonts w:eastAsia="Arial" w:cs="Times New Roman;serif" w:ascii="Times New Roman;serif" w:hAnsi="Times New Roman;serif"/>
          <w:b w:val="false"/>
          <w:bCs/>
          <w:sz w:val="20"/>
          <w:szCs w:val="20"/>
          <w:u w:val="none"/>
          <w:lang w:val="ru-RU"/>
        </w:rPr>
        <w:t xml:space="preserve"> соответствующие техническим требованиям   ГОСТ 12.4.253-2013.</w:t>
      </w:r>
    </w:p>
    <w:tbl>
      <w:tblPr>
        <w:tblW w:w="14713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583"/>
        <w:gridCol w:w="856"/>
        <w:gridCol w:w="3242"/>
        <w:gridCol w:w="3516"/>
        <w:gridCol w:w="3515"/>
      </w:tblGrid>
      <w:tr>
        <w:trPr>
          <w:trHeight w:val="855" w:hRule="atLeast"/>
        </w:trPr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Един. изм</w:t>
            </w: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bookmarkStart w:id="2" w:name="__DdeLink__692_1679140055"/>
            <w:r>
              <w:rPr>
                <w:b/>
                <w:bCs/>
                <w:sz w:val="20"/>
                <w:szCs w:val="20"/>
              </w:rPr>
              <w:t xml:space="preserve">Предельная (максимальная) цена </w:t>
            </w:r>
          </w:p>
          <w:p>
            <w:pPr>
              <w:pStyle w:val="Style19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bookmarkStart w:id="3" w:name="__DdeLink__692_1679140055"/>
            <w:bookmarkEnd w:id="3"/>
            <w:r>
              <w:rPr>
                <w:b/>
                <w:bCs/>
                <w:sz w:val="20"/>
                <w:szCs w:val="20"/>
              </w:rPr>
              <w:t>без НДС, руб. за 1 шт.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Предельная (максимальная) цена </w:t>
            </w:r>
          </w:p>
          <w:p>
            <w:pPr>
              <w:pStyle w:val="Style19"/>
              <w:spacing w:before="0" w:after="20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 НДС, руб. за 1 шт.</w:t>
            </w:r>
          </w:p>
        </w:tc>
      </w:tr>
      <w:tr>
        <w:trPr/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exact" w:line="276"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Arial" w:cs="Times New Roman;serif" w:ascii="Times New Roman;serif" w:hAnsi="Times New Roman;serif"/>
                <w:b/>
                <w:bCs/>
                <w:sz w:val="20"/>
                <w:szCs w:val="20"/>
                <w:u w:val="none"/>
                <w:lang w:val="ru-RU"/>
              </w:rPr>
              <w:t>Светофильтр</w:t>
            </w:r>
            <w:r>
              <w:rPr>
                <w:rFonts w:eastAsia="Arial" w:cs="Times New Roman;serif" w:ascii="Times New Roman;serif" w:hAnsi="Times New Roman;serif"/>
                <w:b w:val="false"/>
                <w:bCs/>
                <w:sz w:val="20"/>
                <w:szCs w:val="20"/>
                <w:u w:val="none"/>
                <w:lang w:val="ru-RU"/>
              </w:rPr>
              <w:t xml:space="preserve"> (материал-стекло) с градационными шифрами 10</w:t>
            </w:r>
            <w:r>
              <w:rPr>
                <w:rFonts w:eastAsia="Arial" w:cs="Times New Roman" w:ascii="Times New Roman;serif" w:hAnsi="Times New Roman;serif"/>
                <w:b w:val="false"/>
                <w:bCs w:val="false"/>
                <w:sz w:val="20"/>
                <w:szCs w:val="20"/>
                <w:u w:val="none"/>
                <w:lang w:val="en-US"/>
              </w:rPr>
              <w:t>JY1</w:t>
            </w:r>
            <w:r>
              <w:rPr>
                <w:rFonts w:eastAsia="Arial" w:cs="Times New Roman;serif" w:ascii="Times New Roman;serif" w:hAnsi="Times New Roman;serif"/>
                <w:b w:val="false"/>
                <w:bCs/>
                <w:sz w:val="20"/>
                <w:szCs w:val="20"/>
                <w:u w:val="none"/>
                <w:lang w:val="ru-RU"/>
              </w:rPr>
              <w:t xml:space="preserve"> и 11</w:t>
            </w:r>
            <w:r>
              <w:rPr>
                <w:rFonts w:eastAsia="Arial" w:cs="Times New Roman" w:ascii="Times New Roman;serif" w:hAnsi="Times New Roman;serif"/>
                <w:b w:val="false"/>
                <w:bCs w:val="false"/>
                <w:sz w:val="20"/>
                <w:szCs w:val="20"/>
                <w:u w:val="none"/>
                <w:lang w:val="en-US"/>
              </w:rPr>
              <w:t>JY1</w:t>
            </w:r>
            <w:r>
              <w:rPr>
                <w:rFonts w:eastAsia="Arial" w:cs="Times New Roman;serif" w:ascii="Times New Roman;serif" w:hAnsi="Times New Roman;serif"/>
                <w:b w:val="false"/>
                <w:bCs/>
                <w:sz w:val="20"/>
                <w:szCs w:val="20"/>
                <w:u w:val="none"/>
                <w:lang w:val="ru-RU"/>
              </w:rPr>
              <w:t>, соответствующие техническим требованиям              ГОСТ 12.4.253-2013.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3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/>
            </w:pPr>
            <w:r>
              <w:rPr/>
              <w:t>13,50</w:t>
            </w:r>
          </w:p>
        </w:tc>
      </w:tr>
    </w:tbl>
    <w:p>
      <w:pPr>
        <w:pStyle w:val="Normal"/>
        <w:spacing w:lineRule="exact" w:line="276"/>
        <w:jc w:val="both"/>
        <w:rPr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Требования к качеству товара</w:t>
      </w:r>
      <w:r>
        <w:rPr>
          <w:rFonts w:cs="Times New Roman"/>
          <w:b/>
          <w:bCs/>
          <w:sz w:val="20"/>
          <w:szCs w:val="20"/>
        </w:rPr>
        <w:t xml:space="preserve">: </w:t>
      </w:r>
    </w:p>
    <w:p>
      <w:pPr>
        <w:pStyle w:val="Normal"/>
        <w:spacing w:lineRule="exact" w:line="276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Поставл</w:t>
      </w:r>
      <w:bookmarkStart w:id="4" w:name="__UnoMark__6022_454661747"/>
      <w:bookmarkEnd w:id="4"/>
      <w:r>
        <w:rPr>
          <w:sz w:val="20"/>
          <w:szCs w:val="20"/>
          <w:lang w:val="ru-RU"/>
        </w:rPr>
        <w:t xml:space="preserve">яемый Товар должен соответствовать по качеству, комплектности и упаковке требованиям ГОСТа. </w:t>
      </w:r>
      <w:r>
        <w:rPr>
          <w:b/>
          <w:bCs/>
          <w:sz w:val="20"/>
          <w:szCs w:val="20"/>
          <w:lang w:val="ru-RU"/>
        </w:rPr>
        <w:t>Поставляемый Товар должен ежегодно подтверждаться протоколом испытаний ИЛ СИЗ ООО</w:t>
      </w:r>
      <w:r>
        <w:rPr>
          <w:b/>
          <w:bCs/>
          <w:sz w:val="20"/>
          <w:szCs w:val="20"/>
          <w:lang w:val="en-US"/>
        </w:rPr>
        <w:t>»</w:t>
      </w:r>
      <w:r>
        <w:rPr>
          <w:b/>
          <w:bCs/>
          <w:sz w:val="20"/>
          <w:szCs w:val="20"/>
          <w:lang w:val="ru-RU"/>
        </w:rPr>
        <w:t>Мониторинг</w:t>
      </w:r>
      <w:r>
        <w:rPr>
          <w:b/>
          <w:bCs/>
          <w:sz w:val="20"/>
          <w:szCs w:val="20"/>
          <w:lang w:val="en-US"/>
        </w:rPr>
        <w:t>»</w:t>
      </w:r>
      <w:r>
        <w:rPr>
          <w:b/>
          <w:bCs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Поставляемый по настоящему договору Товар должен быть новым , не восстановленным и не бывшим в употреблении, изготовленным не ранее  2017 года.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Поставщик удостоверяет  качество поставляемого Товара сертификатом качества. 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ru-RU"/>
        </w:rPr>
        <w:t xml:space="preserve">Гарантийный срок Товара должен быть не менее 12 (двенадцати) месяцев со дня передачи Товара Покупателю. </w:t>
      </w:r>
    </w:p>
    <w:p>
      <w:pPr>
        <w:pStyle w:val="Normal"/>
        <w:widowControl w:val="false"/>
        <w:suppressAutoHyphens w:val="true"/>
        <w:spacing w:lineRule="atLeast" w:line="240" w:before="0" w:after="0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ru-RU" w:eastAsia="ar-SA"/>
        </w:rPr>
        <w:t xml:space="preserve">        </w:t>
      </w:r>
      <w:r>
        <w:rPr>
          <w:rFonts w:eastAsia="Times New Roman" w:cs="Times New Roman"/>
          <w:sz w:val="20"/>
          <w:szCs w:val="20"/>
          <w:lang w:val="ru-RU" w:eastAsia="ar-SA"/>
        </w:rPr>
        <w:t>Приемка Товара по к</w:t>
      </w:r>
      <w:r>
        <w:rPr>
          <w:rFonts w:eastAsia="Calibri" w:cs="Times New Roman"/>
          <w:color w:val="00000A"/>
          <w:sz w:val="20"/>
          <w:szCs w:val="20"/>
          <w:lang w:val="ru-RU" w:eastAsia="ar-SA" w:bidi="ar-SA"/>
        </w:rPr>
        <w:t>оличеству производится в течение 3 (трех) рабочих дней с момента поставки продукции на склад Покупателя согласно инструкции П-6 (Утверждена постановлением Госарбитража при Совете Министров СССР от 15 июня 1965г. в ред. Постановления Госарбитража СССР от 14.11.74г. №98).</w:t>
      </w:r>
    </w:p>
    <w:p>
      <w:pPr>
        <w:pStyle w:val="Normal"/>
        <w:widowControl w:val="false"/>
        <w:suppressAutoHyphens w:val="true"/>
        <w:spacing w:lineRule="atLeast" w:line="240" w:before="0" w:after="0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     </w:t>
      </w:r>
      <w:r>
        <w:rPr>
          <w:rFonts w:eastAsia="Times New Roman" w:cs="Times New Roman"/>
          <w:sz w:val="20"/>
          <w:szCs w:val="20"/>
          <w:lang w:eastAsia="ar-SA"/>
        </w:rPr>
        <w:t xml:space="preserve">Покупатель вправе не оплачивать Товар, не соответствующий условиям о качестве настоящего договора (бой, брак).  В случае обнаружения Покупателем несоответствия Товара по качеству и/или количеству, Покупатель направляет Поставщику надлежащим образом оформленный акт о несоответствии, что является основанием для внесения Поставщиком изменений в соответствующие документы (товарная накладная, счет-фактура) и возмещения несоответствующего Товара. </w:t>
      </w:r>
    </w:p>
    <w:p>
      <w:pPr>
        <w:pStyle w:val="Normal"/>
        <w:widowControl w:val="false"/>
        <w:suppressAutoHyphens w:val="true"/>
        <w:spacing w:lineRule="atLeast" w:line="240" w:before="0" w:after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Норма допустимого боя при транспортировке составляет не более 2%  от количества Товара в соответствующей партии.</w:t>
      </w:r>
    </w:p>
    <w:p>
      <w:pPr>
        <w:pStyle w:val="Normal"/>
        <w:widowControl w:val="false"/>
        <w:suppressAutoHyphens w:val="true"/>
        <w:spacing w:lineRule="atLeast" w:line="240" w:before="0" w:after="0"/>
        <w:jc w:val="both"/>
        <w:rPr>
          <w:sz w:val="20"/>
          <w:szCs w:val="20"/>
        </w:rPr>
      </w:pPr>
      <w:r>
        <w:rPr>
          <w:rFonts w:eastAsia="Calibri" w:cs="Times New Roman"/>
          <w:color w:val="00000A"/>
          <w:sz w:val="20"/>
          <w:szCs w:val="20"/>
          <w:lang w:val="ru-RU" w:bidi="ar-SA"/>
        </w:rPr>
        <w:t>Приемка Товара по качеству производится, при вскрытии каждой тарной упаковки на соответствие НТД на продукцию. Порядок приемки согласно инструкции П-7 (Утверждена Постановлением Госарбитража при Совете Министров СССР от 25 апреля 1966г. в ред. Постановления Госарбитража СССР от 14.11.74г. №98). Срок предъявления претензий по качеству 12 (двенадцать) месяцев.</w:t>
      </w:r>
    </w:p>
    <w:p>
      <w:pPr>
        <w:pStyle w:val="Normal"/>
        <w:widowControl w:val="false"/>
        <w:suppressAutoHyphens w:val="true"/>
        <w:spacing w:lineRule="atLeast" w:line="240" w:before="0" w:after="0"/>
        <w:jc w:val="both"/>
        <w:rPr>
          <w:sz w:val="20"/>
          <w:szCs w:val="20"/>
        </w:rPr>
      </w:pPr>
      <w:r>
        <w:rPr>
          <w:rFonts w:eastAsia="Calibri" w:cs="Times New Roman"/>
          <w:color w:val="00000A"/>
          <w:sz w:val="20"/>
          <w:szCs w:val="20"/>
          <w:lang w:val="ru-RU" w:bidi="ar-SA"/>
        </w:rPr>
        <w:t xml:space="preserve">           </w:t>
      </w:r>
      <w:r>
        <w:rPr>
          <w:rFonts w:eastAsia="Calibri" w:cs="Times New Roman"/>
          <w:color w:val="00000A"/>
          <w:sz w:val="20"/>
          <w:szCs w:val="20"/>
          <w:lang w:val="ru-RU" w:bidi="ar-SA"/>
        </w:rPr>
        <w:t>Поставщик гарантирует, что Товар маркирован в соответствии с установленными для данного вида товара стандартами и техническими условиями.     Маркировка Товара должна быть четкой, стойкой и обеспечивать однозначную идентификацию каждого светофильтра.</w:t>
      </w:r>
    </w:p>
    <w:p>
      <w:pPr>
        <w:pStyle w:val="Style15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Главный технолог </w:t>
        <w:tab/>
        <w:tab/>
        <w:tab/>
        <w:tab/>
        <w:t xml:space="preserve">  </w:t>
        <w:tab/>
        <w:t>ПАК   К.А.</w:t>
      </w:r>
    </w:p>
    <w:p>
      <w:pPr>
        <w:pStyle w:val="Style15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5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Главный конструктор</w:t>
        <w:tab/>
        <w:tab/>
        <w:tab/>
        <w:tab/>
        <w:t xml:space="preserve">              Кислов  С.В.</w:t>
      </w:r>
    </w:p>
    <w:p>
      <w:pPr>
        <w:pStyle w:val="Style15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5"/>
        <w:spacing w:before="0" w:after="0"/>
        <w:jc w:val="both"/>
        <w:rPr/>
      </w:pPr>
      <w:r>
        <w:rPr>
          <w:sz w:val="20"/>
          <w:szCs w:val="20"/>
          <w:lang w:val="ru-RU"/>
        </w:rPr>
        <w:t>Начальник ООМиК</w:t>
        <w:tab/>
        <w:tab/>
        <w:tab/>
        <w:tab/>
        <w:t xml:space="preserve">              Крылов И.В.</w:t>
      </w:r>
    </w:p>
    <w:sectPr>
      <w:type w:val="nextPage"/>
      <w:pgSz w:orient="landscape" w:w="16838" w:h="11906"/>
      <w:pgMar w:left="1134" w:right="991" w:header="0" w:top="567" w:footer="0" w:bottom="53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LibreOffice/5.2.3.3$Windows_x86 LibreOffice_project/d54a8868f08a7b39642414cf2c8ef2f228f780cf</Application>
  <Pages>1</Pages>
  <Words>337</Words>
  <Characters>2343</Characters>
  <CharactersWithSpaces>2761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2017-02-07T20:48:00Z</dcterms:created>
  <dc:creator>User</dc:creator>
  <dc:description/>
  <dc:language>ru</dc:language>
  <cp:lastModifiedBy/>
  <cp:lastPrinted>2017-04-04T09:48:30Z</cp:lastPrinted>
  <dcterms:modified xsi:type="dcterms:W3CDTF">2017-04-04T09:52:44Z</dcterms:modified>
  <cp:revision>22</cp:revision>
  <dc:subject/>
  <dc:title/>
</cp:coreProperties>
</file>