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60" w:after="0"/>
        <w:jc w:val="center"/>
        <w:rPr/>
      </w:pPr>
      <w:r>
        <w:rPr/>
      </w:r>
    </w:p>
    <w:p>
      <w:pPr>
        <w:pStyle w:val="Style22"/>
        <w:spacing w:before="60" w:after="0"/>
        <w:jc w:val="center"/>
        <w:rPr/>
      </w:pPr>
      <w:r>
        <w:rPr/>
      </w:r>
    </w:p>
    <w:p>
      <w:pPr>
        <w:pStyle w:val="Style22"/>
        <w:spacing w:before="60" w:after="0"/>
        <w:jc w:val="center"/>
        <w:rPr/>
      </w:pPr>
      <w:r>
        <w:rPr>
          <w:sz w:val="28"/>
          <w:szCs w:val="28"/>
        </w:rPr>
        <w:t xml:space="preserve">Перечень рекомендуемых мероприятий по улучшению условий труда </w:t>
      </w:r>
      <w:r>
        <w:rPr>
          <w:sz w:val="28"/>
          <w:szCs w:val="28"/>
        </w:rPr>
        <w:t>2016</w:t>
      </w:r>
    </w:p>
    <w:p>
      <w:pPr>
        <w:pStyle w:val="Normal"/>
        <w:rPr/>
      </w:pPr>
      <w:r>
        <w:rPr/>
      </w:r>
    </w:p>
    <w:p>
      <w:pPr>
        <w:pStyle w:val="Normal"/>
        <w:rPr>
          <w:rStyle w:val="Style15"/>
        </w:rPr>
      </w:pPr>
      <w:r>
        <w:rPr/>
        <w:t>Наименование организации:</w:t>
      </w:r>
      <w:r>
        <w:rPr>
          <w:rStyle w:val="Style15"/>
        </w:rPr>
        <w:t xml:space="preserve">  Открытое акционерное общество «Завод «Буревестник»   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575" w:type="dxa"/>
        <w:jc w:val="left"/>
        <w:tblInd w:w="-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055"/>
        <w:gridCol w:w="3687"/>
        <w:gridCol w:w="2833"/>
        <w:gridCol w:w="1386"/>
        <w:gridCol w:w="3291"/>
        <w:gridCol w:w="1322"/>
      </w:tblGrid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Наименование мероприятия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Цель мероприятия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Срок</w:t>
              <w:br/>
              <w:t>выполнения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Отметка о выполнении</w:t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2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3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6</w:t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Общежитие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ОГМетр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ЦЗЛ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БТД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СГП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Красильщик</w:t>
            </w:r>
          </w:p>
          <w:p>
            <w:pPr>
              <w:pStyle w:val="Style23"/>
              <w:jc w:val="left"/>
              <w:rPr/>
            </w:pPr>
            <w:r>
              <w:rPr/>
              <w:t>126/2016-108-007.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 </w:t>
            </w:r>
            <w:r>
              <w:rPr/>
              <w:t>Дробильщик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126/2016-108-008.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bookmarkStart w:id="1" w:name="__DdeLink__1807_1102987301"/>
            <w:r>
              <w:rPr/>
              <w:t>4 кв. 2016</w:t>
            </w:r>
            <w:bookmarkEnd w:id="1"/>
            <w:r>
              <w:rPr/>
              <w:t xml:space="preserve">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УПП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Литейщик пластмасс</w:t>
            </w:r>
          </w:p>
          <w:p>
            <w:pPr>
              <w:pStyle w:val="Style23"/>
              <w:jc w:val="left"/>
              <w:rPr/>
            </w:pPr>
            <w:r>
              <w:rPr/>
              <w:t>126/2016-108-009</w:t>
            </w:r>
          </w:p>
          <w:p>
            <w:pPr>
              <w:pStyle w:val="Style23"/>
              <w:jc w:val="left"/>
              <w:rPr/>
            </w:pPr>
            <w:r>
              <w:rPr/>
              <w:t>126/2016-108-010А</w:t>
            </w:r>
          </w:p>
          <w:p>
            <w:pPr>
              <w:pStyle w:val="Style23"/>
              <w:jc w:val="left"/>
              <w:rPr/>
            </w:pPr>
            <w:r>
              <w:rPr/>
              <w:t>126/2016-108-011А;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126/2016-108-012А; </w:t>
            </w:r>
          </w:p>
          <w:p>
            <w:pPr>
              <w:pStyle w:val="Style23"/>
              <w:jc w:val="left"/>
              <w:rPr/>
            </w:pPr>
            <w:r>
              <w:rPr/>
              <w:t>126/2016-108-013А;</w:t>
            </w:r>
          </w:p>
          <w:p>
            <w:pPr>
              <w:pStyle w:val="Style23"/>
              <w:jc w:val="left"/>
              <w:rPr/>
            </w:pPr>
            <w:r>
              <w:rPr/>
              <w:t>126/2016-108-014А; 1</w:t>
            </w:r>
          </w:p>
          <w:p>
            <w:pPr>
              <w:pStyle w:val="Style23"/>
              <w:jc w:val="left"/>
              <w:rPr/>
            </w:pPr>
            <w:r>
              <w:rPr/>
              <w:t>26/2016-108-015А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УПП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ТХО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Водитель автомобиля</w:t>
            </w:r>
          </w:p>
          <w:p>
            <w:pPr>
              <w:pStyle w:val="Style23"/>
              <w:jc w:val="left"/>
              <w:rPr/>
            </w:pPr>
            <w:r>
              <w:rPr/>
              <w:t>126/2016-231-013.</w:t>
            </w:r>
          </w:p>
          <w:p>
            <w:pPr>
              <w:pStyle w:val="Style23"/>
              <w:jc w:val="left"/>
              <w:rPr/>
            </w:pPr>
            <w:r>
              <w:rPr/>
              <w:t>126/2016-231-014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126/2016-231-016 </w:t>
            </w:r>
          </w:p>
          <w:p>
            <w:pPr>
              <w:pStyle w:val="Style23"/>
              <w:jc w:val="left"/>
              <w:rPr/>
            </w:pPr>
            <w:r>
              <w:rPr/>
              <w:t>126/2016-231-017</w:t>
            </w:r>
          </w:p>
          <w:p>
            <w:pPr>
              <w:pStyle w:val="Style23"/>
              <w:jc w:val="left"/>
              <w:rPr/>
            </w:pPr>
            <w:r>
              <w:rPr/>
              <w:t>126/2016-231-021</w:t>
            </w:r>
          </w:p>
          <w:p>
            <w:pPr>
              <w:pStyle w:val="Style23"/>
              <w:jc w:val="left"/>
              <w:rPr/>
            </w:pPr>
            <w:r>
              <w:rPr/>
              <w:t>126/2016-231-023.</w:t>
            </w:r>
          </w:p>
          <w:p>
            <w:pPr>
              <w:pStyle w:val="Style23"/>
              <w:jc w:val="left"/>
              <w:rPr/>
            </w:pPr>
            <w:r>
              <w:rPr/>
              <w:t>126/2016-231-024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ТХО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Резчик на пилах, ножовках и станках</w:t>
            </w:r>
          </w:p>
          <w:p>
            <w:pPr>
              <w:pStyle w:val="Style23"/>
              <w:jc w:val="left"/>
              <w:rPr/>
            </w:pPr>
            <w:r>
              <w:rPr/>
              <w:t>126/2016-231-037.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ТХО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 и СЗС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Плотник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126/2016-112-017. </w:t>
            </w:r>
          </w:p>
          <w:p>
            <w:pPr>
              <w:pStyle w:val="Style23"/>
              <w:jc w:val="left"/>
              <w:rPr/>
            </w:pPr>
            <w:r>
              <w:rPr/>
              <w:t>126/2016-112-018</w:t>
            </w:r>
          </w:p>
          <w:p>
            <w:pPr>
              <w:pStyle w:val="Style23"/>
              <w:jc w:val="left"/>
              <w:rPr/>
            </w:pPr>
            <w:r>
              <w:rPr/>
              <w:t>126/2016-112-019</w:t>
            </w:r>
          </w:p>
          <w:p>
            <w:pPr>
              <w:pStyle w:val="Style23"/>
              <w:jc w:val="left"/>
              <w:rPr/>
            </w:pPr>
            <w:r>
              <w:rPr/>
              <w:t>126/2016-112-020</w:t>
            </w:r>
          </w:p>
          <w:p>
            <w:pPr>
              <w:pStyle w:val="Style23"/>
              <w:jc w:val="left"/>
              <w:rPr/>
            </w:pPr>
            <w:r>
              <w:rPr/>
              <w:t>Столяр</w:t>
            </w:r>
          </w:p>
          <w:p>
            <w:pPr>
              <w:pStyle w:val="Style23"/>
              <w:jc w:val="left"/>
              <w:rPr/>
            </w:pPr>
            <w:r>
              <w:rPr/>
              <w:t>126/2016-112-021.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126/2016-112-022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 и СЗС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ЦЕХ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Гальваник</w:t>
            </w:r>
          </w:p>
          <w:p>
            <w:pPr>
              <w:pStyle w:val="Style23"/>
              <w:jc w:val="left"/>
              <w:rPr/>
            </w:pPr>
            <w:r>
              <w:rPr/>
              <w:t>126/2016-101-013.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126/2016-101-014 </w:t>
            </w:r>
          </w:p>
          <w:p>
            <w:pPr>
              <w:pStyle w:val="Style23"/>
              <w:jc w:val="left"/>
              <w:rPr/>
            </w:pPr>
            <w:r>
              <w:rPr/>
              <w:t>126/2016-101-015.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1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Маляр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126/2016-101-016.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1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 xml:space="preserve"> </w:t>
            </w:r>
            <w:r>
              <w:rPr/>
              <w:t>Наладчик холодноштамповочного оборудования</w:t>
            </w:r>
          </w:p>
          <w:p>
            <w:pPr>
              <w:pStyle w:val="Style23"/>
              <w:jc w:val="left"/>
              <w:rPr/>
            </w:pPr>
            <w:r>
              <w:rPr/>
              <w:t>126/2016-101-017.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1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Токарь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126/2016-101-029. </w:t>
            </w:r>
          </w:p>
          <w:p>
            <w:pPr>
              <w:pStyle w:val="Style23"/>
              <w:jc w:val="left"/>
              <w:rPr/>
            </w:pPr>
            <w:r>
              <w:rPr/>
              <w:t>Токарь-револьверщик</w:t>
            </w:r>
          </w:p>
          <w:p>
            <w:pPr>
              <w:pStyle w:val="Style23"/>
              <w:jc w:val="left"/>
              <w:rPr/>
            </w:pPr>
            <w:r>
              <w:rPr/>
              <w:t>126/2016-101-030</w:t>
            </w:r>
          </w:p>
          <w:p>
            <w:pPr>
              <w:pStyle w:val="Style23"/>
              <w:jc w:val="left"/>
              <w:rPr/>
            </w:pPr>
            <w:r>
              <w:rPr/>
              <w:t>Фрезеровщик</w:t>
            </w:r>
          </w:p>
          <w:p>
            <w:pPr>
              <w:pStyle w:val="Style23"/>
              <w:jc w:val="left"/>
              <w:rPr/>
            </w:pPr>
            <w:r>
              <w:rPr/>
              <w:t>126/2016-101-036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1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 xml:space="preserve"> </w:t>
            </w:r>
            <w:r>
              <w:rPr/>
              <w:t>Травильщик</w:t>
            </w:r>
          </w:p>
          <w:p>
            <w:pPr>
              <w:pStyle w:val="Style23"/>
              <w:jc w:val="left"/>
              <w:rPr/>
            </w:pPr>
            <w:r>
              <w:rPr/>
              <w:t>126/2016-101-031.</w:t>
            </w:r>
          </w:p>
          <w:p>
            <w:pPr>
              <w:pStyle w:val="Style23"/>
              <w:jc w:val="left"/>
              <w:rPr/>
            </w:pPr>
            <w:r>
              <w:rPr/>
              <w:t>126/2016-101-032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1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Электросварщик ручной сварки</w:t>
            </w:r>
          </w:p>
          <w:p>
            <w:pPr>
              <w:pStyle w:val="Style23"/>
              <w:jc w:val="left"/>
              <w:rPr/>
            </w:pPr>
            <w:r>
              <w:rPr/>
              <w:t>126/2016-101-037.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126/2016-101-038.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1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Цех 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Аппаратчик химводоочистки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126/2016-107-008. 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 </w:t>
            </w:r>
            <w:r>
              <w:rPr/>
              <w:t>Оператор котельной</w:t>
            </w:r>
          </w:p>
          <w:p>
            <w:pPr>
              <w:pStyle w:val="Style23"/>
              <w:jc w:val="left"/>
              <w:rPr/>
            </w:pPr>
            <w:r>
              <w:rPr/>
              <w:t>126/2016-107-016.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7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Токарь</w:t>
            </w:r>
          </w:p>
          <w:p>
            <w:pPr>
              <w:pStyle w:val="Style23"/>
              <w:jc w:val="left"/>
              <w:rPr/>
            </w:pPr>
            <w:r>
              <w:rPr/>
              <w:t>126/2016-107-033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126/2016-107-034. </w:t>
            </w:r>
          </w:p>
          <w:p>
            <w:pPr>
              <w:pStyle w:val="Style23"/>
              <w:jc w:val="left"/>
              <w:rPr/>
            </w:pPr>
            <w:r>
              <w:rPr/>
              <w:t>126/2016-107-035.</w:t>
            </w:r>
          </w:p>
          <w:p>
            <w:pPr>
              <w:pStyle w:val="Style23"/>
              <w:jc w:val="left"/>
              <w:rPr/>
            </w:pPr>
            <w:r>
              <w:rPr/>
              <w:t>Фрезеровщик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126/2016-107-036. </w:t>
            </w:r>
          </w:p>
          <w:p>
            <w:pPr>
              <w:pStyle w:val="Style23"/>
              <w:jc w:val="left"/>
              <w:rPr/>
            </w:pPr>
            <w:r>
              <w:rPr/>
              <w:t>126/2016-107-037</w:t>
            </w:r>
          </w:p>
          <w:p>
            <w:pPr>
              <w:pStyle w:val="Style23"/>
              <w:jc w:val="left"/>
              <w:rPr/>
            </w:pPr>
            <w:r>
              <w:rPr/>
              <w:t>Шлифовщик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126/2016-107-040. 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</w:t>
            </w:r>
          </w:p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7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Газосварщик</w:t>
            </w:r>
          </w:p>
          <w:p>
            <w:pPr>
              <w:pStyle w:val="Style23"/>
              <w:jc w:val="left"/>
              <w:rPr/>
            </w:pPr>
            <w:r>
              <w:rPr/>
              <w:t>126/2016-107-011</w:t>
            </w:r>
          </w:p>
          <w:p>
            <w:pPr>
              <w:pStyle w:val="Style23"/>
              <w:jc w:val="left"/>
              <w:rPr/>
            </w:pPr>
            <w:r>
              <w:rPr/>
              <w:t>Электросварщик ручной сварки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126/2016-107-041. 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126/2016-107-042. 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126/2016-107-043 </w:t>
            </w:r>
          </w:p>
          <w:p>
            <w:pPr>
              <w:pStyle w:val="Style23"/>
              <w:jc w:val="left"/>
              <w:rPr/>
            </w:pPr>
            <w:r>
              <w:rPr/>
              <w:t>126/2016-107-044. 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ЦЕХ 7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Арматурный комплекс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126/2016-114-117. Заточник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АК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  <w:t>126/2016-114-141. Станочник широкого профиля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Использовать наушники противошумные сертифицированные (беруши). В условиях воздействия шума ввести дополнительные  регламентированные перерывы длительностью 10 мин через 1-2 часа после начала смены и через 2 часа после обеденного перерыва длительностью 10 мин.  (Р 2.2.2006-05. Прил.7, п.3).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влияния вредного фактора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АК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  <w:p>
            <w:pPr>
              <w:pStyle w:val="Style23"/>
              <w:jc w:val="left"/>
              <w:rPr/>
            </w:pPr>
            <w:r>
              <w:rPr/>
              <w:t>Токарь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126/2016-114-142. </w:t>
            </w:r>
          </w:p>
          <w:p>
            <w:pPr>
              <w:pStyle w:val="Style23"/>
              <w:jc w:val="left"/>
              <w:rPr/>
            </w:pPr>
            <w:r>
              <w:rPr/>
              <w:t>126/2016-114-143</w:t>
            </w:r>
          </w:p>
          <w:p>
            <w:pPr>
              <w:pStyle w:val="Style23"/>
              <w:jc w:val="left"/>
              <w:rPr/>
            </w:pPr>
            <w:r>
              <w:rPr/>
              <w:t>126/2016-114-144.</w:t>
            </w:r>
          </w:p>
          <w:p>
            <w:pPr>
              <w:pStyle w:val="Style23"/>
              <w:jc w:val="left"/>
              <w:rPr/>
            </w:pPr>
            <w:r>
              <w:rPr/>
              <w:t>126/2016-114-145</w:t>
            </w:r>
          </w:p>
          <w:p>
            <w:pPr>
              <w:pStyle w:val="Style23"/>
              <w:jc w:val="left"/>
              <w:rPr/>
            </w:pPr>
            <w:r>
              <w:rPr/>
              <w:t>126/2016-114-146</w:t>
            </w:r>
          </w:p>
          <w:p>
            <w:pPr>
              <w:pStyle w:val="Style23"/>
              <w:jc w:val="left"/>
              <w:rPr/>
            </w:pPr>
            <w:r>
              <w:rPr/>
              <w:t>126/2016-114-147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126/2016-114-148 </w:t>
            </w:r>
          </w:p>
          <w:p>
            <w:pPr>
              <w:pStyle w:val="Style23"/>
              <w:jc w:val="left"/>
              <w:rPr/>
            </w:pPr>
            <w:r>
              <w:rPr/>
              <w:t>126/2016-114-149</w:t>
            </w:r>
          </w:p>
          <w:p>
            <w:pPr>
              <w:pStyle w:val="Style23"/>
              <w:jc w:val="left"/>
              <w:rPr/>
            </w:pPr>
            <w:r>
              <w:rPr/>
              <w:t>126/2016-114-150</w:t>
            </w:r>
          </w:p>
          <w:p>
            <w:pPr>
              <w:pStyle w:val="Style23"/>
              <w:jc w:val="left"/>
              <w:rPr/>
            </w:pPr>
            <w:r>
              <w:rPr/>
              <w:t>126/2016-114-151</w:t>
            </w:r>
          </w:p>
          <w:p>
            <w:pPr>
              <w:pStyle w:val="Style23"/>
              <w:jc w:val="left"/>
              <w:rPr/>
            </w:pPr>
            <w:r>
              <w:rPr/>
              <w:t>126/2016-114-152</w:t>
            </w:r>
          </w:p>
          <w:p>
            <w:pPr>
              <w:pStyle w:val="Style23"/>
              <w:jc w:val="left"/>
              <w:rPr/>
            </w:pPr>
            <w:r>
              <w:rPr/>
              <w:t>126/2016-114-153</w:t>
            </w:r>
          </w:p>
          <w:p>
            <w:pPr>
              <w:pStyle w:val="Style23"/>
              <w:jc w:val="left"/>
              <w:rPr/>
            </w:pPr>
            <w:r>
              <w:rPr/>
              <w:t>126/2016-114-154</w:t>
            </w:r>
          </w:p>
          <w:p>
            <w:pPr>
              <w:pStyle w:val="Style23"/>
              <w:jc w:val="left"/>
              <w:rPr/>
            </w:pPr>
            <w:r>
              <w:rPr/>
              <w:t>126/2016-114-155</w:t>
            </w:r>
          </w:p>
          <w:p>
            <w:pPr>
              <w:pStyle w:val="Style23"/>
              <w:jc w:val="left"/>
              <w:rPr/>
            </w:pPr>
            <w:r>
              <w:rPr/>
              <w:t>126/2016-114-156</w:t>
            </w:r>
          </w:p>
          <w:p>
            <w:pPr>
              <w:pStyle w:val="Style23"/>
              <w:jc w:val="left"/>
              <w:rPr/>
            </w:pPr>
            <w:r>
              <w:rPr/>
              <w:t>126/2016-114-157</w:t>
            </w:r>
          </w:p>
          <w:p>
            <w:pPr>
              <w:pStyle w:val="Style23"/>
              <w:jc w:val="left"/>
              <w:rPr/>
            </w:pPr>
            <w:r>
              <w:rPr/>
              <w:t>126/2016-114-158</w:t>
            </w:r>
          </w:p>
          <w:p>
            <w:pPr>
              <w:pStyle w:val="Style23"/>
              <w:jc w:val="left"/>
              <w:rPr/>
            </w:pPr>
            <w:r>
              <w:rPr/>
              <w:t>126/2016-114-159</w:t>
            </w:r>
          </w:p>
          <w:p>
            <w:pPr>
              <w:pStyle w:val="Style23"/>
              <w:jc w:val="left"/>
              <w:rPr/>
            </w:pPr>
            <w:r>
              <w:rPr/>
              <w:t xml:space="preserve"> </w:t>
            </w:r>
            <w:r>
              <w:rPr/>
              <w:t>Фрезеровщик</w:t>
            </w:r>
          </w:p>
          <w:p>
            <w:pPr>
              <w:pStyle w:val="Style23"/>
              <w:jc w:val="left"/>
              <w:rPr/>
            </w:pPr>
            <w:r>
              <w:rPr/>
              <w:t>126/2016-114-160.</w:t>
            </w:r>
          </w:p>
          <w:p>
            <w:pPr>
              <w:pStyle w:val="Style23"/>
              <w:jc w:val="left"/>
              <w:rPr/>
            </w:pPr>
            <w:r>
              <w:rPr/>
              <w:t>126/2016-114-161</w:t>
            </w:r>
          </w:p>
          <w:p>
            <w:pPr>
              <w:pStyle w:val="Style23"/>
              <w:jc w:val="left"/>
              <w:rPr/>
            </w:pPr>
            <w:r>
              <w:rPr/>
              <w:t>126/2016-114-162</w:t>
            </w:r>
          </w:p>
          <w:p>
            <w:pPr>
              <w:pStyle w:val="Style23"/>
              <w:jc w:val="left"/>
              <w:rPr/>
            </w:pPr>
            <w:r>
              <w:rPr/>
              <w:t>126/2016-114-163</w:t>
            </w:r>
          </w:p>
          <w:p>
            <w:pPr>
              <w:pStyle w:val="Style23"/>
              <w:jc w:val="left"/>
              <w:rPr/>
            </w:pPr>
            <w:r>
              <w:rPr/>
              <w:t>126/2016-114-164</w:t>
            </w:r>
          </w:p>
          <w:p>
            <w:pPr>
              <w:pStyle w:val="Style23"/>
              <w:jc w:val="left"/>
              <w:rPr/>
            </w:pPr>
            <w:r>
              <w:rPr/>
              <w:t>126/2016-114-165</w:t>
            </w:r>
          </w:p>
          <w:p>
            <w:pPr>
              <w:pStyle w:val="Style23"/>
              <w:jc w:val="left"/>
              <w:rPr/>
            </w:pPr>
            <w:r>
              <w:rPr/>
              <w:t>126/2016-114-166</w:t>
            </w:r>
          </w:p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Организовать рациональные режимы труда  и отдыха. Ввести не менее 3 регламентированных перерывов, общей продолжительностью не менее 35 минут (п.8.3 МР 2.2.9.2311-07 «Профилактика стрессового состояния работников при различных видах профессиональной деятельности»)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4 кв. 2016 г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АК</w:t>
            </w:r>
          </w:p>
          <w:p>
            <w:pPr>
              <w:pStyle w:val="Style23"/>
              <w:rPr/>
            </w:pPr>
            <w:r>
              <w:rPr/>
              <w:t>ОНОТ и КЗП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охраны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  <w:t>Не требуется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Style15"/>
        </w:rPr>
      </w:pPr>
      <w:r>
        <w:rPr/>
        <w:t>Дата составления:</w:t>
      </w:r>
      <w:r>
        <w:rPr>
          <w:rStyle w:val="Style15"/>
        </w:rPr>
        <w:t xml:space="preserve"> 25.09.2016      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  <w:t>Председатель комиссии по проведению специальной оценки условий труда</w:t>
      </w:r>
    </w:p>
    <w:tbl>
      <w:tblPr>
        <w:tblW w:w="11273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281"/>
        <w:gridCol w:w="1838"/>
        <w:gridCol w:w="281"/>
        <w:gridCol w:w="3259"/>
        <w:gridCol w:w="281"/>
        <w:gridCol w:w="1663"/>
      </w:tblGrid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Технический директор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bookmarkStart w:id="2" w:name="com_pred"/>
            <w:bookmarkStart w:id="3" w:name="com_pred"/>
            <w:bookmarkEnd w:id="3"/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С.Н. Колонтаев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bookmarkStart w:id="4" w:name="s070_1"/>
            <w:bookmarkEnd w:id="4"/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3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281"/>
        <w:gridCol w:w="1838"/>
        <w:gridCol w:w="281"/>
        <w:gridCol w:w="3259"/>
        <w:gridCol w:w="281"/>
        <w:gridCol w:w="1663"/>
      </w:tblGrid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Руководитель СОТ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bookmarkStart w:id="5" w:name="com_chlens"/>
            <w:bookmarkStart w:id="6" w:name="com_chlens"/>
            <w:bookmarkEnd w:id="6"/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А.И. Пустовых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bookmarkStart w:id="7" w:name="s070_2"/>
            <w:bookmarkEnd w:id="7"/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Главный технолог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А.В. Капляр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Начальник ЭМО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А.В. Масягин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Зам начальника ЭУ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Л.В. Смирнова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Начальник ОК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Ю.Б. Московкина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Председатель профкома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38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  <w:t>Ю.В. Подлужный</w:t>
            </w:r>
          </w:p>
        </w:tc>
        <w:tc>
          <w:tcPr>
            <w:tcW w:w="281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663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6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38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1" w:type="dxa"/>
            <w:tcBorders/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63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Эксперт(ы) организации, проводившей специальную оценку условий труда:</w:t>
      </w:r>
    </w:p>
    <w:tbl>
      <w:tblPr>
        <w:tblW w:w="11304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  <w:gridCol w:w="282"/>
        <w:gridCol w:w="1840"/>
        <w:gridCol w:w="284"/>
        <w:gridCol w:w="3259"/>
        <w:gridCol w:w="284"/>
        <w:gridCol w:w="1704"/>
      </w:tblGrid>
      <w:tr>
        <w:trPr>
          <w:trHeight w:val="284" w:hRule="atLeast"/>
        </w:trPr>
        <w:tc>
          <w:tcPr>
            <w:tcW w:w="3650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Style23"/>
              <w:rPr/>
            </w:pPr>
            <w:r>
              <w:rPr/>
              <w:t>1497</w:t>
            </w:r>
          </w:p>
        </w:tc>
        <w:tc>
          <w:tcPr>
            <w:tcW w:w="282" w:type="dxa"/>
            <w:tcBorders/>
            <w:shd w:fill="FFFFFF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840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284" w:type="dxa"/>
            <w:tcBorders/>
            <w:shd w:fill="FFFFFF" w:val="clear"/>
            <w:vAlign w:val="cente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259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Style23"/>
              <w:rPr/>
            </w:pPr>
            <w:r>
              <w:rPr/>
              <w:t>Панина Л.В.</w:t>
            </w:r>
          </w:p>
        </w:tc>
        <w:tc>
          <w:tcPr>
            <w:tcW w:w="284" w:type="dxa"/>
            <w:tcBorders/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704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50" w:type="dxa"/>
            <w:tcBorders>
              <w:top w:val="single" w:sz="4" w:space="0" w:color="00000A"/>
            </w:tcBorders>
            <w:shd w:fill="FFFFFF" w:val="clear"/>
            <w:vAlign w:val="cente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2" w:type="dxa"/>
            <w:tcBorders/>
            <w:shd w:fill="FFFFFF" w:val="clear"/>
            <w:vAlign w:val="cente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bookmarkStart w:id="8" w:name="fio_users"/>
            <w:bookmarkStart w:id="9" w:name="fio_users"/>
            <w:bookmarkEnd w:id="9"/>
            <w:r>
              <w:rPr>
                <w:b/>
                <w:vertAlign w:val="superscript"/>
              </w:rPr>
            </w:r>
          </w:p>
        </w:tc>
        <w:tc>
          <w:tcPr>
            <w:tcW w:w="1840" w:type="dxa"/>
            <w:tcBorders>
              <w:top w:val="single" w:sz="4" w:space="0" w:color="00000A"/>
            </w:tcBorders>
            <w:shd w:fill="FFFFFF" w:val="clear"/>
            <w:vAlign w:val="cente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FFFFFF" w:val="clear"/>
            <w:vAlign w:val="center"/>
          </w:tcPr>
          <w:p>
            <w:pPr>
              <w:pStyle w:val="Style23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  <w:tc>
          <w:tcPr>
            <w:tcW w:w="3259" w:type="dxa"/>
            <w:tcBorders>
              <w:top w:val="single" w:sz="4" w:space="0" w:color="00000A"/>
            </w:tcBorders>
            <w:shd w:fill="FFFFFF" w:val="clear"/>
            <w:vAlign w:val="center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704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Style2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9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Style13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Style14">
    <w:name w:val="Раздел Знак"/>
    <w:basedOn w:val="DefaultParagraphFont"/>
    <w:qFormat/>
    <w:rPr>
      <w:b/>
      <w:color w:val="000000"/>
      <w:sz w:val="24"/>
      <w:szCs w:val="24"/>
      <w:lang w:val="ru-RU" w:eastAsia="ru-RU" w:bidi="ar-SA"/>
    </w:rPr>
  </w:style>
  <w:style w:type="character" w:styleId="Style15">
    <w:name w:val="Поле"/>
    <w:basedOn w:val="DefaultParagraphFont"/>
    <w:qFormat/>
    <w:rPr>
      <w:rFonts w:ascii="Times New Roman" w:hAnsi="Times New Roman"/>
      <w:sz w:val="24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Готовый"/>
    <w:basedOn w:val="Normal"/>
    <w:qFormat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Раздел"/>
    <w:basedOn w:val="Normal"/>
    <w:qFormat/>
    <w:pPr>
      <w:spacing w:before="60" w:after="0"/>
    </w:pPr>
    <w:rPr>
      <w:b/>
      <w:color w:val="000000"/>
      <w:szCs w:val="24"/>
    </w:rPr>
  </w:style>
  <w:style w:type="paragraph" w:styleId="Style23">
    <w:name w:val="Табличный"/>
    <w:basedOn w:val="Normal"/>
    <w:qFormat/>
    <w:pPr>
      <w:jc w:val="center"/>
    </w:pPr>
    <w:rPr>
      <w:sz w:val="20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Application>LibreOffice/5.2.3.3$Windows_x86 LibreOffice_project/d54a8868f08a7b39642414cf2c8ef2f228f780cf</Application>
  <Pages>6</Pages>
  <Words>1068</Words>
  <Characters>7853</Characters>
  <CharactersWithSpaces>8725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2016-09-01T09:05:00Z</dcterms:created>
  <dc:creator>Vl</dc:creator>
  <dc:description/>
  <dc:language>ru-RU</dc:language>
  <cp:lastModifiedBy/>
  <cp:lastPrinted>2016-09-01T09:06:00Z</cp:lastPrinted>
  <dcterms:modified xsi:type="dcterms:W3CDTF">2017-11-20T09:26:35Z</dcterms:modified>
  <cp:revision>2</cp:revision>
  <dc:subject/>
  <dc:title>Перечень мероприятий</dc:title>
</cp:coreProperties>
</file>